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DC3F" w14:textId="338E3228" w:rsidR="00C54166" w:rsidRPr="00D7207D" w:rsidRDefault="00C54166" w:rsidP="00C54166">
      <w:pPr>
        <w:spacing w:before="240"/>
        <w:jc w:val="center"/>
        <w:rPr>
          <w:rFonts w:ascii="Montserrat Light" w:hAnsi="Montserrat Light" w:cstheme="majorHAnsi"/>
          <w:bCs/>
          <w:color w:val="B33F76"/>
          <w:sz w:val="32"/>
        </w:rPr>
      </w:pPr>
      <w:r w:rsidRPr="001E2F2F">
        <w:rPr>
          <w:rFonts w:ascii="Montserrat Light" w:hAnsi="Montserrat Light" w:cstheme="majorHAnsi"/>
          <w:bCs/>
          <w:color w:val="B33F76"/>
          <w:sz w:val="32"/>
        </w:rPr>
        <w:t>INVESTORS AND CORPORATES</w:t>
      </w:r>
      <w:r w:rsidRPr="001E2F2F">
        <w:rPr>
          <w:rFonts w:ascii="Montserrat Light" w:hAnsi="Montserrat Light" w:cstheme="majorHAnsi"/>
          <w:bCs/>
          <w:color w:val="B33F76"/>
          <w:sz w:val="32"/>
        </w:rPr>
        <w:br/>
      </w:r>
    </w:p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36"/>
      </w:tblGrid>
      <w:tr w:rsidR="00C54166" w:rsidRPr="001E2F2F" w14:paraId="14FCDB99" w14:textId="77777777" w:rsidTr="00C766CF">
        <w:tc>
          <w:tcPr>
            <w:tcW w:w="4820" w:type="dxa"/>
          </w:tcPr>
          <w:p w14:paraId="55F82E08" w14:textId="64891DB6" w:rsidR="00C54166" w:rsidRPr="001E2F2F" w:rsidRDefault="00C54166" w:rsidP="00C766CF">
            <w:pPr>
              <w:spacing w:before="120" w:line="36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color w:val="009999"/>
              </w:rPr>
            </w:pPr>
            <w:r w:rsidRPr="001E2F2F">
              <w:rPr>
                <w:rFonts w:asciiTheme="majorHAnsi" w:hAnsiTheme="majorHAnsi" w:cstheme="majorHAnsi"/>
                <w:b/>
                <w:bCs/>
                <w:color w:val="009999"/>
              </w:rPr>
              <w:t>Ace Capital Partners</w:t>
            </w:r>
          </w:p>
        </w:tc>
        <w:tc>
          <w:tcPr>
            <w:tcW w:w="5636" w:type="dxa"/>
          </w:tcPr>
          <w:p w14:paraId="2D0ADE3F" w14:textId="77777777" w:rsidR="00C54166" w:rsidRPr="001E2F2F" w:rsidRDefault="00C54166" w:rsidP="00C766CF">
            <w:pPr>
              <w:spacing w:before="120" w:line="360" w:lineRule="auto"/>
              <w:contextualSpacing/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</w:rPr>
            </w:pPr>
            <w:r w:rsidRPr="001E2F2F"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  <w:t>Series A | Series B or later stage investments</w:t>
            </w:r>
          </w:p>
        </w:tc>
      </w:tr>
      <w:tr w:rsidR="00C54166" w:rsidRPr="001E2F2F" w14:paraId="5A6CE60D" w14:textId="77777777" w:rsidTr="00C766CF">
        <w:tc>
          <w:tcPr>
            <w:tcW w:w="4820" w:type="dxa"/>
          </w:tcPr>
          <w:p w14:paraId="438145B6" w14:textId="77777777" w:rsidR="00C54166" w:rsidRPr="001E2F2F" w:rsidRDefault="00C54166" w:rsidP="00C766CF">
            <w:pPr>
              <w:spacing w:before="120" w:line="36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color w:val="009999"/>
              </w:rPr>
            </w:pPr>
            <w:r w:rsidRPr="001E2F2F">
              <w:rPr>
                <w:rFonts w:asciiTheme="majorHAnsi" w:hAnsiTheme="majorHAnsi" w:cstheme="majorHAnsi"/>
                <w:b/>
                <w:bCs/>
                <w:color w:val="009999"/>
              </w:rPr>
              <w:t>Adara Ventures</w:t>
            </w:r>
          </w:p>
        </w:tc>
        <w:tc>
          <w:tcPr>
            <w:tcW w:w="5636" w:type="dxa"/>
          </w:tcPr>
          <w:p w14:paraId="515C3BBF" w14:textId="77777777" w:rsidR="00C54166" w:rsidRPr="001E2F2F" w:rsidRDefault="00C54166" w:rsidP="00C766CF">
            <w:pPr>
              <w:spacing w:before="120" w:line="360" w:lineRule="auto"/>
              <w:contextualSpacing/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</w:pPr>
            <w:r w:rsidRPr="001E2F2F"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  <w:t>Seed | Series A</w:t>
            </w:r>
          </w:p>
        </w:tc>
      </w:tr>
      <w:tr w:rsidR="00C54166" w:rsidRPr="001E2F2F" w14:paraId="69F2D12B" w14:textId="77777777" w:rsidTr="00C766CF">
        <w:tc>
          <w:tcPr>
            <w:tcW w:w="4820" w:type="dxa"/>
          </w:tcPr>
          <w:p w14:paraId="18B4D65A" w14:textId="77777777" w:rsidR="00C54166" w:rsidRPr="001E2F2F" w:rsidRDefault="00C54166" w:rsidP="00C766CF">
            <w:pPr>
              <w:spacing w:before="120" w:line="36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color w:val="009999"/>
              </w:rPr>
            </w:pPr>
            <w:proofErr w:type="spellStart"/>
            <w:r w:rsidRPr="001E2F2F">
              <w:rPr>
                <w:rFonts w:asciiTheme="majorHAnsi" w:hAnsiTheme="majorHAnsi" w:cstheme="majorHAnsi"/>
                <w:b/>
                <w:bCs/>
                <w:color w:val="009999"/>
              </w:rPr>
              <w:t>Armilar</w:t>
            </w:r>
            <w:proofErr w:type="spellEnd"/>
            <w:r w:rsidRPr="001E2F2F">
              <w:rPr>
                <w:rFonts w:asciiTheme="majorHAnsi" w:hAnsiTheme="majorHAnsi" w:cstheme="majorHAnsi"/>
                <w:b/>
                <w:bCs/>
                <w:color w:val="009999"/>
              </w:rPr>
              <w:t xml:space="preserve"> Venture Partners</w:t>
            </w:r>
          </w:p>
        </w:tc>
        <w:tc>
          <w:tcPr>
            <w:tcW w:w="5636" w:type="dxa"/>
          </w:tcPr>
          <w:p w14:paraId="6C8FF690" w14:textId="77777777" w:rsidR="00C54166" w:rsidRPr="001E2F2F" w:rsidRDefault="00C54166" w:rsidP="00C766CF">
            <w:pPr>
              <w:spacing w:before="120" w:line="360" w:lineRule="auto"/>
              <w:contextualSpacing/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</w:rPr>
            </w:pPr>
            <w:r w:rsidRPr="001E2F2F"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  <w:t>Seed | Series A</w:t>
            </w:r>
          </w:p>
        </w:tc>
      </w:tr>
      <w:tr w:rsidR="00C54166" w:rsidRPr="001E2F2F" w14:paraId="691481BA" w14:textId="77777777" w:rsidTr="00C766CF">
        <w:tc>
          <w:tcPr>
            <w:tcW w:w="4820" w:type="dxa"/>
          </w:tcPr>
          <w:p w14:paraId="234F5D54" w14:textId="77777777" w:rsidR="00C54166" w:rsidRPr="001E2F2F" w:rsidRDefault="00C54166" w:rsidP="00C766CF">
            <w:pPr>
              <w:spacing w:before="120" w:line="36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color w:val="009999"/>
              </w:rPr>
            </w:pPr>
            <w:r w:rsidRPr="001E2F2F">
              <w:rPr>
                <w:rFonts w:asciiTheme="majorHAnsi" w:hAnsiTheme="majorHAnsi" w:cstheme="majorHAnsi"/>
                <w:b/>
                <w:bCs/>
                <w:color w:val="009999"/>
              </w:rPr>
              <w:t xml:space="preserve">Caixa Capital </w:t>
            </w:r>
            <w:proofErr w:type="spellStart"/>
            <w:r w:rsidRPr="001E2F2F">
              <w:rPr>
                <w:rFonts w:asciiTheme="majorHAnsi" w:hAnsiTheme="majorHAnsi" w:cstheme="majorHAnsi"/>
                <w:b/>
                <w:bCs/>
                <w:color w:val="009999"/>
              </w:rPr>
              <w:t>Risc</w:t>
            </w:r>
            <w:proofErr w:type="spellEnd"/>
          </w:p>
        </w:tc>
        <w:tc>
          <w:tcPr>
            <w:tcW w:w="5636" w:type="dxa"/>
          </w:tcPr>
          <w:p w14:paraId="36BC18E9" w14:textId="77777777" w:rsidR="00C54166" w:rsidRPr="001E2F2F" w:rsidRDefault="00C54166" w:rsidP="00C766CF">
            <w:pPr>
              <w:spacing w:before="120" w:line="360" w:lineRule="auto"/>
              <w:contextualSpacing/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</w:rPr>
            </w:pPr>
            <w:r w:rsidRPr="001E2F2F"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  <w:t>Seed | Series A | Series B or later stage investments</w:t>
            </w:r>
          </w:p>
        </w:tc>
      </w:tr>
      <w:tr w:rsidR="00C54166" w:rsidRPr="001E2F2F" w14:paraId="4776A694" w14:textId="77777777" w:rsidTr="00C766CF">
        <w:tc>
          <w:tcPr>
            <w:tcW w:w="4820" w:type="dxa"/>
          </w:tcPr>
          <w:p w14:paraId="6B51F031" w14:textId="77777777" w:rsidR="00C54166" w:rsidRPr="001E2F2F" w:rsidRDefault="00C54166" w:rsidP="00C766CF">
            <w:pPr>
              <w:spacing w:before="120" w:line="36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color w:val="009999"/>
              </w:rPr>
            </w:pPr>
            <w:r w:rsidRPr="003912D5">
              <w:rPr>
                <w:rFonts w:asciiTheme="majorHAnsi" w:hAnsiTheme="majorHAnsi" w:cstheme="majorHAnsi"/>
                <w:b/>
                <w:bCs/>
                <w:color w:val="009999"/>
              </w:rPr>
              <w:t>Citi Ventures</w:t>
            </w:r>
          </w:p>
        </w:tc>
        <w:tc>
          <w:tcPr>
            <w:tcW w:w="5636" w:type="dxa"/>
          </w:tcPr>
          <w:p w14:paraId="41788442" w14:textId="77777777" w:rsidR="00C54166" w:rsidRPr="001E2F2F" w:rsidRDefault="00C54166" w:rsidP="00C766CF">
            <w:pPr>
              <w:spacing w:before="120" w:line="360" w:lineRule="auto"/>
              <w:contextualSpacing/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</w:rPr>
            </w:pPr>
            <w:r w:rsidRPr="001E2F2F"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  <w:t>Series A | Series B or later stage investments</w:t>
            </w:r>
          </w:p>
        </w:tc>
      </w:tr>
      <w:tr w:rsidR="00C54166" w:rsidRPr="001E2F2F" w14:paraId="353107CC" w14:textId="77777777" w:rsidTr="00C766CF">
        <w:tc>
          <w:tcPr>
            <w:tcW w:w="4820" w:type="dxa"/>
          </w:tcPr>
          <w:p w14:paraId="27B7BA7C" w14:textId="77777777" w:rsidR="00C54166" w:rsidRPr="001E2F2F" w:rsidRDefault="00C54166" w:rsidP="00C766CF">
            <w:pPr>
              <w:spacing w:before="120" w:line="36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color w:val="009999"/>
              </w:rPr>
            </w:pPr>
            <w:r w:rsidRPr="001E2F2F">
              <w:rPr>
                <w:rFonts w:asciiTheme="majorHAnsi" w:hAnsiTheme="majorHAnsi" w:cstheme="majorHAnsi"/>
                <w:b/>
                <w:bCs/>
                <w:color w:val="009999"/>
              </w:rPr>
              <w:t>Evolution Equity Partners</w:t>
            </w:r>
          </w:p>
        </w:tc>
        <w:tc>
          <w:tcPr>
            <w:tcW w:w="5636" w:type="dxa"/>
          </w:tcPr>
          <w:p w14:paraId="4E79E41D" w14:textId="77777777" w:rsidR="00C54166" w:rsidRPr="001E2F2F" w:rsidRDefault="00C54166" w:rsidP="00C766CF">
            <w:pPr>
              <w:spacing w:before="120" w:line="360" w:lineRule="auto"/>
              <w:contextualSpacing/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</w:rPr>
            </w:pPr>
            <w:r w:rsidRPr="001E2F2F"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  <w:t>Seed | Series A | Series B or later stage investments</w:t>
            </w:r>
          </w:p>
        </w:tc>
      </w:tr>
      <w:tr w:rsidR="00C54166" w:rsidRPr="001E2F2F" w14:paraId="2CE74F54" w14:textId="77777777" w:rsidTr="00C766CF">
        <w:tc>
          <w:tcPr>
            <w:tcW w:w="4820" w:type="dxa"/>
          </w:tcPr>
          <w:p w14:paraId="35050017" w14:textId="77777777" w:rsidR="00C54166" w:rsidRPr="001E2F2F" w:rsidRDefault="00C54166" w:rsidP="00C766CF">
            <w:pPr>
              <w:spacing w:before="120" w:line="36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color w:val="009999"/>
              </w:rPr>
            </w:pPr>
            <w:proofErr w:type="spellStart"/>
            <w:r w:rsidRPr="007F2D31">
              <w:rPr>
                <w:rFonts w:asciiTheme="majorHAnsi" w:hAnsiTheme="majorHAnsi" w:cstheme="majorHAnsi"/>
                <w:b/>
                <w:bCs/>
                <w:color w:val="009999"/>
              </w:rPr>
              <w:t>Expon</w:t>
            </w:r>
            <w:proofErr w:type="spellEnd"/>
            <w:r w:rsidRPr="007F2D31">
              <w:rPr>
                <w:rFonts w:asciiTheme="majorHAnsi" w:hAnsiTheme="majorHAnsi" w:cstheme="majorHAnsi"/>
                <w:b/>
                <w:bCs/>
                <w:color w:val="009999"/>
              </w:rPr>
              <w:t xml:space="preserve"> Capital</w:t>
            </w:r>
          </w:p>
        </w:tc>
        <w:tc>
          <w:tcPr>
            <w:tcW w:w="5636" w:type="dxa"/>
          </w:tcPr>
          <w:p w14:paraId="1BE14A2D" w14:textId="77777777" w:rsidR="00C54166" w:rsidRPr="001E2F2F" w:rsidRDefault="00C54166" w:rsidP="00C766CF">
            <w:pPr>
              <w:spacing w:before="120" w:line="360" w:lineRule="auto"/>
              <w:contextualSpacing/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</w:rPr>
            </w:pPr>
            <w:r w:rsidRPr="001E2F2F"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  <w:t>Seed | Series A | Series B or later stage investments</w:t>
            </w:r>
          </w:p>
        </w:tc>
      </w:tr>
      <w:tr w:rsidR="00C54166" w:rsidRPr="001E2F2F" w14:paraId="10AB25BB" w14:textId="77777777" w:rsidTr="00C766CF">
        <w:tc>
          <w:tcPr>
            <w:tcW w:w="4820" w:type="dxa"/>
          </w:tcPr>
          <w:p w14:paraId="5396C7C0" w14:textId="77777777" w:rsidR="00C54166" w:rsidRPr="001E2F2F" w:rsidRDefault="00C54166" w:rsidP="00C766CF">
            <w:pPr>
              <w:spacing w:before="120" w:line="36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color w:val="009999"/>
                <w:lang w:val="fr-BE"/>
              </w:rPr>
            </w:pPr>
            <w:proofErr w:type="spellStart"/>
            <w:r w:rsidRPr="000F1F22">
              <w:rPr>
                <w:rFonts w:asciiTheme="majorHAnsi" w:hAnsiTheme="majorHAnsi" w:cstheme="majorHAnsi"/>
                <w:b/>
                <w:bCs/>
                <w:color w:val="009999"/>
              </w:rPr>
              <w:t>Lightbird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9999"/>
              </w:rPr>
              <w:t xml:space="preserve"> Ventures</w:t>
            </w:r>
          </w:p>
        </w:tc>
        <w:tc>
          <w:tcPr>
            <w:tcW w:w="5636" w:type="dxa"/>
          </w:tcPr>
          <w:p w14:paraId="5A79E09F" w14:textId="77777777" w:rsidR="00C54166" w:rsidRPr="001E2F2F" w:rsidRDefault="00C54166" w:rsidP="00C766CF">
            <w:pPr>
              <w:spacing w:before="120" w:line="360" w:lineRule="auto"/>
              <w:contextualSpacing/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</w:rPr>
            </w:pPr>
            <w:r w:rsidRPr="001E2F2F"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  <w:t>Seed | Series A</w:t>
            </w:r>
          </w:p>
        </w:tc>
      </w:tr>
      <w:tr w:rsidR="00C54166" w:rsidRPr="001E2F2F" w14:paraId="600FB0E6" w14:textId="77777777" w:rsidTr="00C766CF">
        <w:trPr>
          <w:trHeight w:val="288"/>
        </w:trPr>
        <w:tc>
          <w:tcPr>
            <w:tcW w:w="4820" w:type="dxa"/>
          </w:tcPr>
          <w:p w14:paraId="10D334FA" w14:textId="77777777" w:rsidR="00C54166" w:rsidRPr="001E2F2F" w:rsidRDefault="00C54166" w:rsidP="00C766CF">
            <w:pPr>
              <w:spacing w:before="120" w:line="36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color w:val="009999"/>
              </w:rPr>
            </w:pPr>
            <w:proofErr w:type="spellStart"/>
            <w:r w:rsidRPr="000F1F22">
              <w:rPr>
                <w:rFonts w:asciiTheme="majorHAnsi" w:hAnsiTheme="majorHAnsi" w:cstheme="majorHAnsi"/>
                <w:b/>
                <w:bCs/>
                <w:color w:val="009999"/>
              </w:rPr>
              <w:t>Nexit</w:t>
            </w:r>
            <w:proofErr w:type="spellEnd"/>
            <w:r w:rsidRPr="000F1F22">
              <w:rPr>
                <w:rFonts w:asciiTheme="majorHAnsi" w:hAnsiTheme="majorHAnsi" w:cstheme="majorHAnsi"/>
                <w:b/>
                <w:bCs/>
                <w:color w:val="009999"/>
              </w:rPr>
              <w:t xml:space="preserve"> Ventures</w:t>
            </w:r>
          </w:p>
        </w:tc>
        <w:tc>
          <w:tcPr>
            <w:tcW w:w="5636" w:type="dxa"/>
          </w:tcPr>
          <w:p w14:paraId="11A41D96" w14:textId="77777777" w:rsidR="00C54166" w:rsidRPr="001E2F2F" w:rsidRDefault="00C54166" w:rsidP="00C766CF">
            <w:pPr>
              <w:spacing w:before="120" w:line="360" w:lineRule="auto"/>
              <w:contextualSpacing/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</w:rPr>
            </w:pPr>
            <w:r w:rsidRPr="001E2F2F"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  <w:t>Series A | Series B or later stage investments</w:t>
            </w:r>
          </w:p>
        </w:tc>
      </w:tr>
      <w:tr w:rsidR="00C54166" w:rsidRPr="001E2F2F" w14:paraId="513A2CBC" w14:textId="77777777" w:rsidTr="00C766CF">
        <w:trPr>
          <w:trHeight w:val="694"/>
        </w:trPr>
        <w:tc>
          <w:tcPr>
            <w:tcW w:w="4820" w:type="dxa"/>
          </w:tcPr>
          <w:p w14:paraId="522FEE58" w14:textId="77777777" w:rsidR="00C54166" w:rsidRPr="001E2F2F" w:rsidRDefault="00C54166" w:rsidP="00C766CF">
            <w:pPr>
              <w:spacing w:before="120" w:line="36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color w:val="009999"/>
              </w:rPr>
            </w:pPr>
            <w:proofErr w:type="spellStart"/>
            <w:r w:rsidRPr="001E2F2F">
              <w:rPr>
                <w:rFonts w:asciiTheme="majorHAnsi" w:hAnsiTheme="majorHAnsi" w:cstheme="majorHAnsi"/>
                <w:b/>
                <w:bCs/>
                <w:color w:val="009999"/>
              </w:rPr>
              <w:t>secunet</w:t>
            </w:r>
            <w:proofErr w:type="spellEnd"/>
            <w:r w:rsidRPr="001E2F2F">
              <w:rPr>
                <w:rFonts w:asciiTheme="majorHAnsi" w:hAnsiTheme="majorHAnsi" w:cstheme="majorHAnsi"/>
                <w:b/>
                <w:bCs/>
                <w:color w:val="009999"/>
              </w:rPr>
              <w:t xml:space="preserve"> Security Networks AG</w:t>
            </w:r>
          </w:p>
        </w:tc>
        <w:tc>
          <w:tcPr>
            <w:tcW w:w="5636" w:type="dxa"/>
          </w:tcPr>
          <w:p w14:paraId="13D799F6" w14:textId="77777777" w:rsidR="00C54166" w:rsidRPr="001E2F2F" w:rsidRDefault="00C54166" w:rsidP="00C766CF">
            <w:pPr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</w:rPr>
            </w:pPr>
            <w:r w:rsidRPr="001E2F2F"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  <w:t>Corporate/strategic investment | Potential business partner/supplier</w:t>
            </w:r>
          </w:p>
        </w:tc>
      </w:tr>
      <w:tr w:rsidR="00C54166" w:rsidRPr="001E2F2F" w14:paraId="5DED488C" w14:textId="77777777" w:rsidTr="00C766CF">
        <w:trPr>
          <w:trHeight w:val="738"/>
        </w:trPr>
        <w:tc>
          <w:tcPr>
            <w:tcW w:w="4820" w:type="dxa"/>
          </w:tcPr>
          <w:p w14:paraId="1ED481FE" w14:textId="77777777" w:rsidR="00C54166" w:rsidRPr="001E2F2F" w:rsidRDefault="00C54166" w:rsidP="00C766CF">
            <w:pPr>
              <w:spacing w:before="120" w:line="36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color w:val="009999"/>
              </w:rPr>
            </w:pPr>
            <w:r w:rsidRPr="001E2F2F">
              <w:rPr>
                <w:rFonts w:asciiTheme="majorHAnsi" w:hAnsiTheme="majorHAnsi" w:cstheme="majorHAnsi"/>
                <w:b/>
                <w:bCs/>
                <w:color w:val="009999"/>
              </w:rPr>
              <w:t>Sonae IM</w:t>
            </w:r>
          </w:p>
        </w:tc>
        <w:tc>
          <w:tcPr>
            <w:tcW w:w="5636" w:type="dxa"/>
          </w:tcPr>
          <w:p w14:paraId="598BA95D" w14:textId="77777777" w:rsidR="00C54166" w:rsidRPr="001E2F2F" w:rsidRDefault="00C54166" w:rsidP="00C766CF">
            <w:pPr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</w:rPr>
            </w:pPr>
            <w:r w:rsidRPr="001E2F2F"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  <w:t>Series A | Series B or later stage investments | Corporate/strategic investment</w:t>
            </w:r>
          </w:p>
        </w:tc>
      </w:tr>
      <w:tr w:rsidR="00C54166" w:rsidRPr="001E2F2F" w14:paraId="69A43572" w14:textId="77777777" w:rsidTr="00C766CF">
        <w:trPr>
          <w:trHeight w:val="736"/>
        </w:trPr>
        <w:tc>
          <w:tcPr>
            <w:tcW w:w="4820" w:type="dxa"/>
          </w:tcPr>
          <w:p w14:paraId="2998EF4C" w14:textId="77777777" w:rsidR="00C54166" w:rsidRPr="001E2F2F" w:rsidRDefault="00C54166" w:rsidP="00C766CF">
            <w:pPr>
              <w:spacing w:before="120" w:line="36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color w:val="009999"/>
              </w:rPr>
            </w:pPr>
            <w:proofErr w:type="spellStart"/>
            <w:r w:rsidRPr="00746B9E">
              <w:rPr>
                <w:rFonts w:asciiTheme="majorHAnsi" w:hAnsiTheme="majorHAnsi" w:cstheme="majorHAnsi"/>
                <w:b/>
                <w:bCs/>
                <w:color w:val="009999"/>
              </w:rPr>
              <w:t>Swisscanto</w:t>
            </w:r>
            <w:proofErr w:type="spellEnd"/>
            <w:r w:rsidRPr="00746B9E">
              <w:rPr>
                <w:rFonts w:asciiTheme="majorHAnsi" w:hAnsiTheme="majorHAnsi" w:cstheme="majorHAnsi"/>
                <w:b/>
                <w:bCs/>
                <w:color w:val="009999"/>
              </w:rPr>
              <w:t xml:space="preserve"> Private Equity</w:t>
            </w:r>
          </w:p>
        </w:tc>
        <w:tc>
          <w:tcPr>
            <w:tcW w:w="5636" w:type="dxa"/>
          </w:tcPr>
          <w:p w14:paraId="6B20F001" w14:textId="77777777" w:rsidR="00C54166" w:rsidRPr="001E2F2F" w:rsidRDefault="00C54166" w:rsidP="00C766CF">
            <w:pPr>
              <w:spacing w:before="120"/>
              <w:contextualSpacing/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</w:rPr>
            </w:pPr>
            <w:r w:rsidRPr="001E2F2F"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  <w:t>Seed | Series A | Series B or later stage investments | Corporate/strategic investment</w:t>
            </w:r>
          </w:p>
        </w:tc>
      </w:tr>
      <w:tr w:rsidR="00C54166" w:rsidRPr="001E2F2F" w14:paraId="2C0B24B4" w14:textId="77777777" w:rsidTr="00C766CF">
        <w:tc>
          <w:tcPr>
            <w:tcW w:w="4820" w:type="dxa"/>
          </w:tcPr>
          <w:p w14:paraId="5BA34395" w14:textId="511E2023" w:rsidR="00C54166" w:rsidRPr="001E2F2F" w:rsidRDefault="006159C6" w:rsidP="007C6E99">
            <w:pPr>
              <w:spacing w:before="120" w:line="36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color w:val="0099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841BDD" wp14:editId="60E2899B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234315</wp:posOffset>
                      </wp:positionV>
                      <wp:extent cx="1428750" cy="1404620"/>
                      <wp:effectExtent l="0" t="0" r="0" b="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61E71" w14:textId="531DA036" w:rsidR="00BE4842" w:rsidRDefault="00BE4842" w:rsidP="006159C6">
                                  <w:pPr>
                                    <w:spacing w:before="120" w:line="360" w:lineRule="auto"/>
                                    <w:contextualSpacing/>
                                    <w:jc w:val="right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9999"/>
                                    </w:rPr>
                                  </w:pPr>
                                  <w:r w:rsidRPr="00BE4842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9999"/>
                                    </w:rPr>
                                    <w:t>Assay Group</w:t>
                                  </w:r>
                                </w:p>
                                <w:p w14:paraId="32980C70" w14:textId="312A0D46" w:rsidR="006159C6" w:rsidRPr="00BE4842" w:rsidRDefault="006159C6" w:rsidP="006159C6">
                                  <w:pPr>
                                    <w:spacing w:before="120" w:after="0" w:line="360" w:lineRule="auto"/>
                                    <w:contextualSpacing/>
                                    <w:jc w:val="right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9999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9999"/>
                                    </w:rPr>
                                    <w:t>SPACE BRIDGE FUND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5841B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23.1pt;margin-top:18.45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cl+QEAAM4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" filled="f" stroked="f">
                      <v:textbox style="mso-fit-shape-to-text:t">
                        <w:txbxContent>
                          <w:p w14:paraId="1E961E71" w14:textId="531DA036" w:rsidR="00BE4842" w:rsidRDefault="00BE4842" w:rsidP="006159C6">
                            <w:pPr>
                              <w:spacing w:before="120" w:line="360" w:lineRule="auto"/>
                              <w:contextualSpacing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9999"/>
                              </w:rPr>
                            </w:pPr>
                            <w:r w:rsidRPr="00BE484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9999"/>
                              </w:rPr>
                              <w:t>Assay Group</w:t>
                            </w:r>
                          </w:p>
                          <w:p w14:paraId="32980C70" w14:textId="312A0D46" w:rsidR="006159C6" w:rsidRPr="00BE4842" w:rsidRDefault="006159C6" w:rsidP="006159C6">
                            <w:pPr>
                              <w:spacing w:before="120" w:after="0" w:line="360" w:lineRule="auto"/>
                              <w:contextualSpacing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9999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9999"/>
                              </w:rPr>
                              <w:t>SPACE BRIDGE FUND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54166" w:rsidRPr="001E2F2F">
              <w:rPr>
                <w:rFonts w:asciiTheme="majorHAnsi" w:hAnsiTheme="majorHAnsi" w:cstheme="majorHAnsi"/>
                <w:b/>
                <w:bCs/>
                <w:color w:val="009999"/>
              </w:rPr>
              <w:t xml:space="preserve">TIIN Capital - Dutch </w:t>
            </w:r>
            <w:proofErr w:type="spellStart"/>
            <w:r w:rsidR="00C54166" w:rsidRPr="001E2F2F">
              <w:rPr>
                <w:rFonts w:asciiTheme="majorHAnsi" w:hAnsiTheme="majorHAnsi" w:cstheme="majorHAnsi"/>
                <w:b/>
                <w:bCs/>
                <w:color w:val="009999"/>
              </w:rPr>
              <w:t>SecurityTechFund</w:t>
            </w:r>
            <w:proofErr w:type="spellEnd"/>
          </w:p>
        </w:tc>
        <w:tc>
          <w:tcPr>
            <w:tcW w:w="5636" w:type="dxa"/>
          </w:tcPr>
          <w:p w14:paraId="1DFBA5D6" w14:textId="77777777" w:rsidR="00BE4842" w:rsidRDefault="00C54166" w:rsidP="00BE4842">
            <w:pPr>
              <w:spacing w:before="120" w:line="360" w:lineRule="auto"/>
              <w:contextualSpacing/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</w:pPr>
            <w:r w:rsidRPr="001E2F2F"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  <w:t>Series A | Series B or later stage investments</w:t>
            </w:r>
          </w:p>
          <w:p w14:paraId="0EB16BDF" w14:textId="68CB35B4" w:rsidR="00BE4842" w:rsidRDefault="00BE4842" w:rsidP="00BE4842">
            <w:pPr>
              <w:spacing w:before="120" w:line="360" w:lineRule="auto"/>
              <w:contextualSpacing/>
              <w:rPr>
                <w:rFonts w:asciiTheme="majorHAnsi" w:hAnsiTheme="majorHAnsi" w:cstheme="majorHAnsi"/>
                <w:b/>
                <w:bCs/>
                <w:color w:val="009999"/>
              </w:rPr>
            </w:pPr>
          </w:p>
          <w:p w14:paraId="21649DEC" w14:textId="5E9521B6" w:rsidR="00BE4842" w:rsidRPr="00BE4842" w:rsidRDefault="00BE4842" w:rsidP="00BE4842">
            <w:pPr>
              <w:spacing w:before="120" w:line="360" w:lineRule="auto"/>
              <w:contextualSpacing/>
              <w:rPr>
                <w:rFonts w:asciiTheme="majorHAnsi" w:hAnsiTheme="majorHAnsi" w:cstheme="majorHAnsi"/>
                <w:i/>
                <w:iCs/>
                <w:color w:val="767171" w:themeColor="background2" w:themeShade="80"/>
              </w:rPr>
            </w:pPr>
          </w:p>
        </w:tc>
      </w:tr>
    </w:tbl>
    <w:p w14:paraId="1A3BFD19" w14:textId="17068EDE" w:rsidR="00904435" w:rsidRDefault="00904435"/>
    <w:sectPr w:rsidR="0090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66"/>
    <w:rsid w:val="00126511"/>
    <w:rsid w:val="00410BD3"/>
    <w:rsid w:val="006159C6"/>
    <w:rsid w:val="007C6E99"/>
    <w:rsid w:val="00904435"/>
    <w:rsid w:val="00937A5B"/>
    <w:rsid w:val="00BE4842"/>
    <w:rsid w:val="00C5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37CF"/>
  <w15:chartTrackingRefBased/>
  <w15:docId w15:val="{3ABB20B3-13D8-442C-AAC6-3C5F33B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16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16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Kaklauskaite</dc:creator>
  <cp:keywords/>
  <dc:description/>
  <cp:lastModifiedBy>Karolina Wojtyczek</cp:lastModifiedBy>
  <cp:revision>3</cp:revision>
  <dcterms:created xsi:type="dcterms:W3CDTF">2022-05-16T18:23:00Z</dcterms:created>
  <dcterms:modified xsi:type="dcterms:W3CDTF">2022-05-16T18:23:00Z</dcterms:modified>
</cp:coreProperties>
</file>